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947F" w14:textId="252D5C68" w:rsidR="00F62F01" w:rsidRPr="00C51FD3" w:rsidRDefault="000062CD">
      <w:pPr>
        <w:spacing w:before="18" w:line="596" w:lineRule="exact"/>
        <w:textAlignment w:val="baseline"/>
        <w:rPr>
          <w:rFonts w:eastAsia="Verdana"/>
          <w:color w:val="000000"/>
          <w:spacing w:val="25"/>
          <w:w w:val="90"/>
          <w:sz w:val="44"/>
          <w:szCs w:val="44"/>
        </w:rPr>
      </w:pPr>
      <w:r w:rsidRPr="00C51FD3">
        <w:rPr>
          <w:rFonts w:eastAsia="Verdana"/>
          <w:color w:val="000000"/>
          <w:spacing w:val="25"/>
          <w:w w:val="90"/>
          <w:sz w:val="44"/>
          <w:szCs w:val="44"/>
        </w:rPr>
        <w:t xml:space="preserve">MOTOR VEHICLE ASSESSMENT </w:t>
      </w:r>
      <w:r w:rsidR="00C51FD3" w:rsidRPr="00C51FD3">
        <w:rPr>
          <w:rFonts w:eastAsia="Verdana"/>
          <w:color w:val="000000"/>
          <w:spacing w:val="25"/>
          <w:w w:val="90"/>
          <w:sz w:val="44"/>
          <w:szCs w:val="44"/>
        </w:rPr>
        <w:t>C</w:t>
      </w:r>
      <w:r w:rsidRPr="00C51FD3">
        <w:rPr>
          <w:rFonts w:eastAsia="Verdana"/>
          <w:color w:val="000000"/>
          <w:spacing w:val="25"/>
          <w:w w:val="90"/>
          <w:sz w:val="44"/>
          <w:szCs w:val="44"/>
        </w:rPr>
        <w:t>HANGES</w:t>
      </w:r>
    </w:p>
    <w:p w14:paraId="04419480" w14:textId="77777777" w:rsidR="00F62F01" w:rsidRPr="00C51FD3" w:rsidRDefault="000062CD" w:rsidP="00C51FD3">
      <w:pPr>
        <w:spacing w:before="282" w:after="136" w:line="375" w:lineRule="exact"/>
        <w:textAlignment w:val="baseline"/>
        <w:rPr>
          <w:rFonts w:eastAsia="Verdana"/>
          <w:b/>
          <w:color w:val="000000"/>
          <w:w w:val="85"/>
          <w:sz w:val="28"/>
          <w:szCs w:val="28"/>
        </w:rPr>
      </w:pPr>
      <w:r w:rsidRPr="00C51FD3">
        <w:rPr>
          <w:rFonts w:eastAsia="Verdana"/>
          <w:b/>
          <w:color w:val="000000"/>
          <w:w w:val="85"/>
          <w:sz w:val="28"/>
          <w:szCs w:val="28"/>
        </w:rPr>
        <w:t xml:space="preserve">Motor Vehicle Assessment Changes </w:t>
      </w:r>
      <w:r w:rsidRPr="00C51FD3">
        <w:rPr>
          <w:rFonts w:eastAsia="Verdana"/>
          <w:b/>
          <w:color w:val="000000"/>
          <w:w w:val="85"/>
          <w:sz w:val="28"/>
          <w:szCs w:val="28"/>
        </w:rPr>
        <w:br/>
        <w:t>Effective October 1, 2024</w:t>
      </w:r>
    </w:p>
    <w:p w14:paraId="04419481" w14:textId="1A799CCF" w:rsidR="00F62F01" w:rsidRPr="00C51FD3" w:rsidRDefault="000062CD" w:rsidP="00C51FD3">
      <w:pPr>
        <w:spacing w:before="7" w:line="375" w:lineRule="exact"/>
        <w:jc w:val="both"/>
        <w:textAlignment w:val="baseline"/>
        <w:rPr>
          <w:rFonts w:eastAsia="Verdana"/>
          <w:color w:val="000000"/>
          <w:sz w:val="24"/>
          <w:szCs w:val="24"/>
        </w:rPr>
      </w:pPr>
      <w:r w:rsidRPr="00C51FD3">
        <w:rPr>
          <w:rFonts w:eastAsia="Verdana"/>
          <w:color w:val="000000"/>
          <w:sz w:val="24"/>
          <w:szCs w:val="24"/>
        </w:rPr>
        <w:t>Prior to October 1,</w:t>
      </w:r>
      <w:r w:rsidR="009453D7">
        <w:rPr>
          <w:rFonts w:eastAsia="Verdana"/>
          <w:color w:val="000000"/>
          <w:sz w:val="24"/>
          <w:szCs w:val="24"/>
        </w:rPr>
        <w:t xml:space="preserve"> </w:t>
      </w:r>
      <w:r w:rsidRPr="00C51FD3">
        <w:rPr>
          <w:rFonts w:eastAsia="Verdana"/>
          <w:color w:val="000000"/>
          <w:sz w:val="24"/>
          <w:szCs w:val="24"/>
        </w:rPr>
        <w:t xml:space="preserve">2024, motor vehicles were assessed at 70% of the Clean Retail </w:t>
      </w:r>
      <w:r w:rsidRPr="00C51FD3">
        <w:rPr>
          <w:rFonts w:eastAsia="Verdana"/>
          <w:color w:val="000000"/>
          <w:sz w:val="24"/>
          <w:szCs w:val="24"/>
        </w:rPr>
        <w:br/>
        <w:t xml:space="preserve">value found in the JD Power pricing guide. Pursuant to Public Act 22-118 and Public </w:t>
      </w:r>
      <w:r w:rsidRPr="00C51FD3">
        <w:rPr>
          <w:rFonts w:eastAsia="Verdana"/>
          <w:color w:val="000000"/>
          <w:sz w:val="24"/>
          <w:szCs w:val="24"/>
        </w:rPr>
        <w:br/>
        <w:t xml:space="preserve">Act 2025-2, the Town Assessment Department will be valuing registered/non- </w:t>
      </w:r>
      <w:r w:rsidRPr="00C51FD3">
        <w:rPr>
          <w:rFonts w:eastAsia="Verdana"/>
          <w:color w:val="000000"/>
          <w:sz w:val="24"/>
          <w:szCs w:val="24"/>
        </w:rPr>
        <w:br/>
        <w:t>registered vehicles differently than they have in the past. As of October 1,</w:t>
      </w:r>
      <w:r w:rsidR="00570E19">
        <w:rPr>
          <w:rFonts w:eastAsia="Verdana"/>
          <w:color w:val="000000"/>
          <w:sz w:val="24"/>
          <w:szCs w:val="24"/>
        </w:rPr>
        <w:t xml:space="preserve"> </w:t>
      </w:r>
      <w:r w:rsidRPr="00C51FD3">
        <w:rPr>
          <w:rFonts w:eastAsia="Verdana"/>
          <w:color w:val="000000"/>
          <w:sz w:val="24"/>
          <w:szCs w:val="24"/>
        </w:rPr>
        <w:t xml:space="preserve">2024, the </w:t>
      </w:r>
      <w:r w:rsidRPr="00C51FD3">
        <w:rPr>
          <w:rFonts w:eastAsia="Verdana"/>
          <w:color w:val="000000"/>
          <w:sz w:val="24"/>
          <w:szCs w:val="24"/>
        </w:rPr>
        <w:br/>
        <w:t xml:space="preserve">Assessment Department will use the Manufacturer Suggested Retail Price (MSRP) of </w:t>
      </w:r>
      <w:r w:rsidRPr="00C51FD3">
        <w:rPr>
          <w:rFonts w:eastAsia="Verdana"/>
          <w:color w:val="000000"/>
          <w:sz w:val="24"/>
          <w:szCs w:val="24"/>
        </w:rPr>
        <w:br/>
        <w:t xml:space="preserve">each vehicle and apply the depreciation schedule on the following page to calculate </w:t>
      </w:r>
      <w:r w:rsidRPr="00C51FD3">
        <w:rPr>
          <w:rFonts w:eastAsia="Verdana"/>
          <w:color w:val="000000"/>
          <w:sz w:val="24"/>
          <w:szCs w:val="24"/>
        </w:rPr>
        <w:br/>
        <w:t xml:space="preserve">the depreciated value of each vehicle. This depreciated value will then be multiplied </w:t>
      </w:r>
      <w:r w:rsidRPr="00C51FD3">
        <w:rPr>
          <w:rFonts w:eastAsia="Verdana"/>
          <w:color w:val="000000"/>
          <w:sz w:val="24"/>
          <w:szCs w:val="24"/>
        </w:rPr>
        <w:br/>
        <w:t xml:space="preserve">by the statewide assessment ratio of 70% to come up with the assessed value of the </w:t>
      </w:r>
      <w:r w:rsidRPr="00C51FD3">
        <w:rPr>
          <w:rFonts w:eastAsia="Verdana"/>
          <w:color w:val="000000"/>
          <w:sz w:val="24"/>
          <w:szCs w:val="24"/>
        </w:rPr>
        <w:br/>
        <w:t xml:space="preserve">vehicle for taxation. The assessed value of the vehicle will decrease yearly based on </w:t>
      </w:r>
      <w:r w:rsidRPr="00C51FD3">
        <w:rPr>
          <w:rFonts w:eastAsia="Verdana"/>
          <w:color w:val="000000"/>
          <w:sz w:val="24"/>
          <w:szCs w:val="24"/>
        </w:rPr>
        <w:br/>
        <w:t xml:space="preserve">the depreciation schedule but will never fall below a 500 assessment for taxation </w:t>
      </w:r>
      <w:r w:rsidRPr="00C51FD3">
        <w:rPr>
          <w:rFonts w:eastAsia="Verdana"/>
          <w:color w:val="000000"/>
          <w:sz w:val="24"/>
          <w:szCs w:val="24"/>
        </w:rPr>
        <w:br/>
        <w:t>purposes. The assessment is then multiplied by the</w:t>
      </w:r>
      <w:r w:rsidR="00570E19">
        <w:rPr>
          <w:rFonts w:eastAsia="Verdana"/>
          <w:color w:val="000000"/>
          <w:sz w:val="24"/>
          <w:szCs w:val="24"/>
        </w:rPr>
        <w:t xml:space="preserve"> town’s mill rate</w:t>
      </w:r>
      <w:r w:rsidRPr="00C51FD3">
        <w:rPr>
          <w:rFonts w:eastAsia="Verdana"/>
          <w:color w:val="000000"/>
          <w:sz w:val="24"/>
          <w:szCs w:val="24"/>
        </w:rPr>
        <w:t>.</w:t>
      </w:r>
    </w:p>
    <w:p w14:paraId="04419482" w14:textId="77777777" w:rsidR="00F62F01" w:rsidRPr="00C51FD3" w:rsidRDefault="000062CD">
      <w:pPr>
        <w:spacing w:before="371" w:line="376" w:lineRule="exact"/>
        <w:textAlignment w:val="baseline"/>
        <w:rPr>
          <w:rFonts w:eastAsia="Verdana"/>
          <w:color w:val="000000"/>
          <w:sz w:val="40"/>
          <w:szCs w:val="40"/>
        </w:rPr>
      </w:pPr>
      <w:r w:rsidRPr="00C51FD3">
        <w:rPr>
          <w:rFonts w:eastAsia="Verdana"/>
          <w:color w:val="000000"/>
          <w:sz w:val="40"/>
          <w:szCs w:val="40"/>
        </w:rPr>
        <w:t xml:space="preserve">Example of old and new tax calculation based </w:t>
      </w:r>
      <w:r w:rsidRPr="00C51FD3">
        <w:rPr>
          <w:rFonts w:eastAsia="Verdana"/>
          <w:color w:val="000000"/>
          <w:sz w:val="40"/>
          <w:szCs w:val="40"/>
        </w:rPr>
        <w:br/>
        <w:t>on a 2022 Toyota Corolla XLE (estimate only)</w:t>
      </w:r>
    </w:p>
    <w:p w14:paraId="04419483" w14:textId="77777777" w:rsidR="00F62F01" w:rsidRPr="00C51FD3" w:rsidRDefault="000062CD">
      <w:pPr>
        <w:spacing w:before="351" w:line="183" w:lineRule="exact"/>
        <w:ind w:left="576"/>
        <w:textAlignment w:val="baseline"/>
        <w:rPr>
          <w:rFonts w:eastAsia="Verdana"/>
          <w:color w:val="000000"/>
          <w:spacing w:val="-5"/>
          <w:sz w:val="40"/>
          <w:szCs w:val="40"/>
          <w:u w:val="single"/>
        </w:rPr>
      </w:pPr>
      <w:r w:rsidRPr="00C51FD3">
        <w:rPr>
          <w:rFonts w:eastAsia="Verdana"/>
          <w:color w:val="000000"/>
          <w:spacing w:val="-5"/>
          <w:sz w:val="40"/>
          <w:szCs w:val="40"/>
          <w:u w:val="single"/>
        </w:rPr>
        <w:t>Old Valuation Method</w:t>
      </w:r>
    </w:p>
    <w:p w14:paraId="04419484" w14:textId="66C3095C" w:rsidR="00F62F01" w:rsidRPr="00C51FD3" w:rsidRDefault="000062CD">
      <w:pPr>
        <w:spacing w:before="294" w:line="375" w:lineRule="exact"/>
        <w:ind w:left="576"/>
        <w:textAlignment w:val="baseline"/>
        <w:rPr>
          <w:rFonts w:eastAsia="Verdana"/>
          <w:color w:val="000000"/>
          <w:sz w:val="28"/>
          <w:szCs w:val="28"/>
        </w:rPr>
      </w:pPr>
      <w:r w:rsidRPr="00C51FD3">
        <w:rPr>
          <w:rFonts w:eastAsia="Verdana"/>
          <w:color w:val="000000"/>
          <w:sz w:val="28"/>
          <w:szCs w:val="28"/>
        </w:rPr>
        <w:t xml:space="preserve">100% average retail price/clean retail value= $28,875 (JD Power Clean Retail) </w:t>
      </w:r>
      <w:r w:rsidRPr="00C51FD3">
        <w:rPr>
          <w:rFonts w:eastAsia="Verdana"/>
          <w:color w:val="000000"/>
          <w:sz w:val="28"/>
          <w:szCs w:val="28"/>
        </w:rPr>
        <w:br/>
        <w:t xml:space="preserve">$28,875 x 70% Assessment Ratio = 20,210 assessment 20,210 x </w:t>
      </w:r>
      <w:r w:rsidR="00570E19">
        <w:rPr>
          <w:rFonts w:eastAsia="Verdana"/>
          <w:color w:val="000000"/>
          <w:sz w:val="28"/>
          <w:szCs w:val="28"/>
        </w:rPr>
        <w:t>30.65</w:t>
      </w:r>
      <w:r w:rsidRPr="00C51FD3">
        <w:rPr>
          <w:rFonts w:eastAsia="Verdana"/>
          <w:color w:val="000000"/>
          <w:sz w:val="28"/>
          <w:szCs w:val="28"/>
        </w:rPr>
        <w:t xml:space="preserve"> </w:t>
      </w:r>
      <w:r w:rsidRPr="00C51FD3">
        <w:rPr>
          <w:rFonts w:eastAsia="Verdana"/>
          <w:color w:val="000000"/>
          <w:sz w:val="28"/>
          <w:szCs w:val="28"/>
        </w:rPr>
        <w:br/>
        <w:t xml:space="preserve">motor vehicle </w:t>
      </w:r>
      <w:proofErr w:type="gramStart"/>
      <w:r w:rsidRPr="00C51FD3">
        <w:rPr>
          <w:rFonts w:eastAsia="Verdana"/>
          <w:color w:val="000000"/>
          <w:sz w:val="28"/>
          <w:szCs w:val="28"/>
        </w:rPr>
        <w:t>mill</w:t>
      </w:r>
      <w:proofErr w:type="gramEnd"/>
      <w:r w:rsidRPr="00C51FD3">
        <w:rPr>
          <w:rFonts w:eastAsia="Verdana"/>
          <w:color w:val="000000"/>
          <w:sz w:val="28"/>
          <w:szCs w:val="28"/>
        </w:rPr>
        <w:t xml:space="preserve"> rate= $6</w:t>
      </w:r>
      <w:r w:rsidR="00570E19">
        <w:rPr>
          <w:rFonts w:eastAsia="Verdana"/>
          <w:color w:val="000000"/>
          <w:sz w:val="28"/>
          <w:szCs w:val="28"/>
        </w:rPr>
        <w:t>19.44</w:t>
      </w:r>
      <w:r w:rsidRPr="00C51FD3">
        <w:rPr>
          <w:rFonts w:eastAsia="Verdana"/>
          <w:color w:val="000000"/>
          <w:sz w:val="28"/>
          <w:szCs w:val="28"/>
        </w:rPr>
        <w:t xml:space="preserve"> tax bill.</w:t>
      </w:r>
    </w:p>
    <w:p w14:paraId="04419485" w14:textId="77777777" w:rsidR="00F62F01" w:rsidRPr="00C51FD3" w:rsidRDefault="000062CD">
      <w:pPr>
        <w:spacing w:before="496" w:line="183" w:lineRule="exact"/>
        <w:ind w:left="576"/>
        <w:textAlignment w:val="baseline"/>
        <w:rPr>
          <w:rFonts w:eastAsia="Verdana"/>
          <w:color w:val="000000"/>
          <w:spacing w:val="-5"/>
          <w:sz w:val="40"/>
          <w:szCs w:val="40"/>
          <w:u w:val="single"/>
        </w:rPr>
      </w:pPr>
      <w:r w:rsidRPr="00C51FD3">
        <w:rPr>
          <w:rFonts w:eastAsia="Verdana"/>
          <w:color w:val="000000"/>
          <w:spacing w:val="-5"/>
          <w:sz w:val="40"/>
          <w:szCs w:val="40"/>
          <w:u w:val="single"/>
        </w:rPr>
        <w:t>New Valuation Method</w:t>
      </w:r>
    </w:p>
    <w:p w14:paraId="04419487" w14:textId="6CF0C5F6" w:rsidR="00C51FD3" w:rsidRDefault="000062CD" w:rsidP="0021798B">
      <w:pPr>
        <w:spacing w:before="298" w:line="375" w:lineRule="exact"/>
        <w:ind w:left="576"/>
        <w:textAlignment w:val="baseline"/>
        <w:sectPr w:rsidR="00C51FD3" w:rsidSect="000062CD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C51FD3">
        <w:rPr>
          <w:rFonts w:eastAsia="Verdana"/>
          <w:color w:val="000000"/>
          <w:sz w:val="28"/>
          <w:szCs w:val="28"/>
        </w:rPr>
        <w:t xml:space="preserve">MSRP $27,625 X 80% depreciation from schedule = $22,100 depreciated </w:t>
      </w:r>
      <w:r w:rsidRPr="00C51FD3">
        <w:rPr>
          <w:rFonts w:eastAsia="Verdana"/>
          <w:color w:val="000000"/>
          <w:sz w:val="28"/>
          <w:szCs w:val="28"/>
        </w:rPr>
        <w:br/>
        <w:t xml:space="preserve">value $22,100 x 70% Assessment Ratio =15,470 assessment 15,470 x </w:t>
      </w:r>
      <w:r w:rsidRPr="00C51FD3">
        <w:rPr>
          <w:rFonts w:eastAsia="Verdana"/>
          <w:color w:val="000000"/>
          <w:sz w:val="28"/>
          <w:szCs w:val="28"/>
        </w:rPr>
        <w:br/>
        <w:t>3</w:t>
      </w:r>
      <w:r w:rsidR="00570E19">
        <w:rPr>
          <w:rFonts w:eastAsia="Verdana"/>
          <w:color w:val="000000"/>
          <w:sz w:val="28"/>
          <w:szCs w:val="28"/>
        </w:rPr>
        <w:t>0.65</w:t>
      </w:r>
      <w:r w:rsidRPr="00C51FD3">
        <w:rPr>
          <w:rFonts w:eastAsia="Verdana"/>
          <w:color w:val="000000"/>
          <w:sz w:val="28"/>
          <w:szCs w:val="28"/>
        </w:rPr>
        <w:t xml:space="preserve"> motor vehicle </w:t>
      </w:r>
      <w:proofErr w:type="gramStart"/>
      <w:r w:rsidRPr="00C51FD3">
        <w:rPr>
          <w:rFonts w:eastAsia="Verdana"/>
          <w:color w:val="000000"/>
          <w:sz w:val="28"/>
          <w:szCs w:val="28"/>
        </w:rPr>
        <w:t>mill</w:t>
      </w:r>
      <w:proofErr w:type="gramEnd"/>
      <w:r w:rsidRPr="00C51FD3">
        <w:rPr>
          <w:rFonts w:eastAsia="Verdana"/>
          <w:color w:val="000000"/>
          <w:sz w:val="28"/>
          <w:szCs w:val="28"/>
        </w:rPr>
        <w:t xml:space="preserve"> rate = $</w:t>
      </w:r>
      <w:r w:rsidR="00570E19">
        <w:rPr>
          <w:rFonts w:eastAsia="Verdana"/>
          <w:color w:val="000000"/>
          <w:sz w:val="28"/>
          <w:szCs w:val="28"/>
        </w:rPr>
        <w:t>474.15</w:t>
      </w:r>
      <w:r w:rsidRPr="00C51FD3">
        <w:rPr>
          <w:rFonts w:eastAsia="Verdana"/>
          <w:color w:val="000000"/>
          <w:sz w:val="28"/>
          <w:szCs w:val="28"/>
        </w:rPr>
        <w:t xml:space="preserve"> tax bill.</w:t>
      </w:r>
    </w:p>
    <w:p w14:paraId="268C384E" w14:textId="1BA9C144" w:rsidR="00C51FD3" w:rsidRDefault="00C51FD3">
      <w:pPr>
        <w:spacing w:before="15" w:line="374" w:lineRule="exact"/>
        <w:ind w:right="360"/>
        <w:textAlignment w:val="baseline"/>
        <w:rPr>
          <w:rFonts w:eastAsia="Verdana"/>
          <w:color w:val="000000"/>
          <w:spacing w:val="-17"/>
          <w:sz w:val="40"/>
          <w:szCs w:val="40"/>
        </w:rPr>
      </w:pPr>
      <w:r>
        <w:rPr>
          <w:rFonts w:eastAsia="Verdana"/>
          <w:color w:val="000000"/>
          <w:spacing w:val="-17"/>
          <w:sz w:val="40"/>
          <w:szCs w:val="40"/>
        </w:rPr>
        <w:t xml:space="preserve">Example of old and new tax calculation </w:t>
      </w:r>
      <w:r w:rsidRPr="00C51FD3">
        <w:rPr>
          <w:rFonts w:eastAsia="Verdana"/>
          <w:color w:val="000000"/>
          <w:spacing w:val="-17"/>
          <w:sz w:val="36"/>
          <w:szCs w:val="36"/>
        </w:rPr>
        <w:t>based on a 2009 Toyota Camry LE (estimate</w:t>
      </w:r>
      <w:r>
        <w:rPr>
          <w:rFonts w:eastAsia="Verdana"/>
          <w:color w:val="000000"/>
          <w:spacing w:val="-17"/>
          <w:sz w:val="40"/>
          <w:szCs w:val="40"/>
        </w:rPr>
        <w:t xml:space="preserve"> only)</w:t>
      </w:r>
    </w:p>
    <w:p w14:paraId="5A681D80" w14:textId="77777777" w:rsidR="005A20CE" w:rsidRDefault="005A20CE">
      <w:pPr>
        <w:spacing w:before="15" w:line="374" w:lineRule="exact"/>
        <w:ind w:right="360"/>
        <w:textAlignment w:val="baseline"/>
        <w:rPr>
          <w:rFonts w:eastAsia="Verdana"/>
          <w:color w:val="000000"/>
          <w:spacing w:val="-17"/>
          <w:sz w:val="40"/>
          <w:szCs w:val="40"/>
        </w:rPr>
      </w:pPr>
    </w:p>
    <w:p w14:paraId="512A007E" w14:textId="773D582B" w:rsidR="00C51FD3" w:rsidRDefault="005A20CE">
      <w:pPr>
        <w:spacing w:before="15" w:line="374" w:lineRule="exact"/>
        <w:ind w:right="360"/>
        <w:textAlignment w:val="baseline"/>
        <w:rPr>
          <w:rFonts w:eastAsia="Verdana"/>
          <w:color w:val="000000"/>
          <w:spacing w:val="-17"/>
          <w:sz w:val="40"/>
          <w:szCs w:val="40"/>
          <w:u w:val="single"/>
        </w:rPr>
      </w:pPr>
      <w:r>
        <w:rPr>
          <w:rFonts w:eastAsia="Verdana"/>
          <w:color w:val="000000"/>
          <w:spacing w:val="-17"/>
          <w:sz w:val="40"/>
          <w:szCs w:val="40"/>
        </w:rPr>
        <w:tab/>
      </w:r>
      <w:r w:rsidRPr="005A20CE">
        <w:rPr>
          <w:rFonts w:eastAsia="Verdana"/>
          <w:color w:val="000000"/>
          <w:spacing w:val="-17"/>
          <w:sz w:val="40"/>
          <w:szCs w:val="40"/>
          <w:u w:val="single"/>
        </w:rPr>
        <w:t>Old Valuation Method</w:t>
      </w:r>
    </w:p>
    <w:p w14:paraId="076C5E5D" w14:textId="636CC942" w:rsidR="00570E19" w:rsidRDefault="00570E19">
      <w:pPr>
        <w:spacing w:before="15" w:line="374" w:lineRule="exact"/>
        <w:ind w:right="360"/>
        <w:textAlignment w:val="baseline"/>
        <w:rPr>
          <w:rFonts w:eastAsia="Verdana"/>
          <w:color w:val="000000"/>
          <w:spacing w:val="-17"/>
          <w:sz w:val="28"/>
          <w:szCs w:val="28"/>
        </w:rPr>
      </w:pPr>
    </w:p>
    <w:p w14:paraId="5F71E103" w14:textId="3B9376C4" w:rsidR="00570E19" w:rsidRDefault="00570E19" w:rsidP="00570E19">
      <w:pPr>
        <w:spacing w:before="15" w:line="374" w:lineRule="exact"/>
        <w:ind w:left="720" w:right="360"/>
        <w:textAlignment w:val="baseline"/>
        <w:rPr>
          <w:rFonts w:eastAsia="Verdana"/>
          <w:color w:val="000000"/>
          <w:spacing w:val="-17"/>
          <w:sz w:val="28"/>
          <w:szCs w:val="28"/>
        </w:rPr>
      </w:pPr>
      <w:r>
        <w:rPr>
          <w:rFonts w:eastAsia="Verdana"/>
          <w:color w:val="000000"/>
          <w:spacing w:val="-17"/>
          <w:sz w:val="28"/>
          <w:szCs w:val="28"/>
        </w:rPr>
        <w:t>100% average retail price/clean retail value =</w:t>
      </w:r>
      <w:r w:rsidR="0021798B">
        <w:rPr>
          <w:rFonts w:eastAsia="Verdana"/>
          <w:color w:val="000000"/>
          <w:spacing w:val="-17"/>
          <w:sz w:val="28"/>
          <w:szCs w:val="28"/>
        </w:rPr>
        <w:t>7,225</w:t>
      </w:r>
      <w:r>
        <w:rPr>
          <w:rFonts w:eastAsia="Verdana"/>
          <w:color w:val="000000"/>
          <w:spacing w:val="-17"/>
          <w:sz w:val="28"/>
          <w:szCs w:val="28"/>
        </w:rPr>
        <w:t xml:space="preserve"> (JD Power Clean Retail)</w:t>
      </w:r>
    </w:p>
    <w:p w14:paraId="45ACC226" w14:textId="6E0D2931" w:rsidR="00570E19" w:rsidRDefault="00570E19" w:rsidP="00570E19">
      <w:pPr>
        <w:spacing w:before="15" w:line="374" w:lineRule="exact"/>
        <w:ind w:left="720" w:right="360"/>
        <w:textAlignment w:val="baseline"/>
        <w:rPr>
          <w:rFonts w:eastAsia="Verdana"/>
          <w:color w:val="000000"/>
          <w:spacing w:val="-17"/>
          <w:sz w:val="28"/>
          <w:szCs w:val="28"/>
        </w:rPr>
      </w:pPr>
      <w:r>
        <w:rPr>
          <w:rFonts w:eastAsia="Verdana"/>
          <w:color w:val="000000"/>
          <w:spacing w:val="-17"/>
          <w:sz w:val="28"/>
          <w:szCs w:val="28"/>
        </w:rPr>
        <w:t>$</w:t>
      </w:r>
      <w:r w:rsidR="0021798B">
        <w:rPr>
          <w:rFonts w:eastAsia="Verdana"/>
          <w:color w:val="000000"/>
          <w:spacing w:val="-17"/>
          <w:sz w:val="28"/>
          <w:szCs w:val="28"/>
        </w:rPr>
        <w:t>7,225</w:t>
      </w:r>
      <w:r>
        <w:rPr>
          <w:rFonts w:eastAsia="Verdana"/>
          <w:color w:val="000000"/>
          <w:spacing w:val="-17"/>
          <w:sz w:val="28"/>
          <w:szCs w:val="28"/>
        </w:rPr>
        <w:t xml:space="preserve"> x 70% assessment ratio = </w:t>
      </w:r>
      <w:r w:rsidR="0021798B">
        <w:rPr>
          <w:rFonts w:eastAsia="Verdana"/>
          <w:color w:val="000000"/>
          <w:spacing w:val="-17"/>
          <w:sz w:val="28"/>
          <w:szCs w:val="28"/>
        </w:rPr>
        <w:t>5060</w:t>
      </w:r>
      <w:r>
        <w:rPr>
          <w:rFonts w:eastAsia="Verdana"/>
          <w:color w:val="000000"/>
          <w:spacing w:val="-17"/>
          <w:sz w:val="28"/>
          <w:szCs w:val="28"/>
        </w:rPr>
        <w:t xml:space="preserve"> assessment </w:t>
      </w:r>
      <w:r w:rsidR="0021798B">
        <w:rPr>
          <w:rFonts w:eastAsia="Verdana"/>
          <w:color w:val="000000"/>
          <w:spacing w:val="-17"/>
          <w:sz w:val="28"/>
          <w:szCs w:val="28"/>
        </w:rPr>
        <w:t>5,060</w:t>
      </w:r>
      <w:r>
        <w:rPr>
          <w:rFonts w:eastAsia="Verdana"/>
          <w:color w:val="000000"/>
          <w:spacing w:val="-17"/>
          <w:sz w:val="28"/>
          <w:szCs w:val="28"/>
        </w:rPr>
        <w:t xml:space="preserve"> x 30.65 motor vehicle mill rate = $</w:t>
      </w:r>
      <w:r w:rsidR="0021798B">
        <w:rPr>
          <w:rFonts w:eastAsia="Verdana"/>
          <w:color w:val="000000"/>
          <w:spacing w:val="-17"/>
          <w:sz w:val="28"/>
          <w:szCs w:val="28"/>
        </w:rPr>
        <w:t>155.09</w:t>
      </w:r>
      <w:r>
        <w:rPr>
          <w:rFonts w:eastAsia="Verdana"/>
          <w:color w:val="000000"/>
          <w:spacing w:val="-17"/>
          <w:sz w:val="28"/>
          <w:szCs w:val="28"/>
        </w:rPr>
        <w:t xml:space="preserve"> tax b</w:t>
      </w:r>
      <w:r w:rsidR="005B7933">
        <w:rPr>
          <w:rFonts w:eastAsia="Verdana"/>
          <w:color w:val="000000"/>
          <w:spacing w:val="-17"/>
          <w:sz w:val="28"/>
          <w:szCs w:val="28"/>
        </w:rPr>
        <w:t>ill.</w:t>
      </w:r>
    </w:p>
    <w:p w14:paraId="645B9A87" w14:textId="29441379" w:rsidR="005B7933" w:rsidRDefault="005B7933" w:rsidP="00570E19">
      <w:pPr>
        <w:spacing w:before="15" w:line="374" w:lineRule="exact"/>
        <w:ind w:left="720" w:right="360"/>
        <w:textAlignment w:val="baseline"/>
        <w:rPr>
          <w:rFonts w:eastAsia="Verdana"/>
          <w:color w:val="000000"/>
          <w:spacing w:val="-17"/>
          <w:sz w:val="28"/>
          <w:szCs w:val="28"/>
        </w:rPr>
      </w:pPr>
    </w:p>
    <w:p w14:paraId="33ABC80C" w14:textId="0436AA62" w:rsidR="005B7933" w:rsidRDefault="005B7933" w:rsidP="00570E19">
      <w:pPr>
        <w:spacing w:before="15" w:line="374" w:lineRule="exact"/>
        <w:ind w:left="720" w:right="360"/>
        <w:textAlignment w:val="baseline"/>
        <w:rPr>
          <w:rFonts w:eastAsia="Verdana"/>
          <w:color w:val="000000"/>
          <w:spacing w:val="-17"/>
          <w:sz w:val="40"/>
          <w:szCs w:val="40"/>
        </w:rPr>
      </w:pPr>
      <w:r>
        <w:rPr>
          <w:rFonts w:eastAsia="Verdana"/>
          <w:color w:val="000000"/>
          <w:spacing w:val="-17"/>
          <w:sz w:val="40"/>
          <w:szCs w:val="40"/>
          <w:u w:val="single"/>
        </w:rPr>
        <w:t>New Valuation Method</w:t>
      </w:r>
    </w:p>
    <w:p w14:paraId="40331784" w14:textId="0319F959" w:rsidR="005B7933" w:rsidRDefault="005B7933" w:rsidP="00570E19">
      <w:pPr>
        <w:spacing w:before="15" w:line="374" w:lineRule="exact"/>
        <w:ind w:left="720" w:right="360"/>
        <w:textAlignment w:val="baseline"/>
        <w:rPr>
          <w:rFonts w:eastAsia="Verdana"/>
          <w:color w:val="000000"/>
          <w:spacing w:val="-17"/>
          <w:sz w:val="40"/>
          <w:szCs w:val="40"/>
        </w:rPr>
      </w:pPr>
    </w:p>
    <w:p w14:paraId="7E9BA1EF" w14:textId="07118F47" w:rsidR="005A20CE" w:rsidRPr="005A20CE" w:rsidRDefault="005B7933" w:rsidP="0021798B">
      <w:pPr>
        <w:spacing w:before="15" w:line="374" w:lineRule="exact"/>
        <w:ind w:left="720" w:right="360"/>
        <w:textAlignment w:val="baseline"/>
        <w:rPr>
          <w:rFonts w:eastAsia="Verdana"/>
          <w:color w:val="000000"/>
          <w:spacing w:val="-17"/>
          <w:sz w:val="28"/>
          <w:szCs w:val="28"/>
        </w:rPr>
      </w:pPr>
      <w:r>
        <w:rPr>
          <w:rFonts w:eastAsia="Verdana"/>
          <w:color w:val="000000"/>
          <w:spacing w:val="-17"/>
          <w:sz w:val="28"/>
          <w:szCs w:val="28"/>
        </w:rPr>
        <w:t>MSRP $2</w:t>
      </w:r>
      <w:r w:rsidR="0021798B">
        <w:rPr>
          <w:rFonts w:eastAsia="Verdana"/>
          <w:color w:val="000000"/>
          <w:spacing w:val="-17"/>
          <w:sz w:val="28"/>
          <w:szCs w:val="28"/>
        </w:rPr>
        <w:t>3,790</w:t>
      </w:r>
      <w:r>
        <w:rPr>
          <w:rFonts w:eastAsia="Verdana"/>
          <w:color w:val="000000"/>
          <w:spacing w:val="-17"/>
          <w:sz w:val="28"/>
          <w:szCs w:val="28"/>
        </w:rPr>
        <w:t xml:space="preserve"> x 20% depreciation from schedule = $</w:t>
      </w:r>
      <w:r w:rsidR="0021798B">
        <w:rPr>
          <w:rFonts w:eastAsia="Verdana"/>
          <w:color w:val="000000"/>
          <w:spacing w:val="-17"/>
          <w:sz w:val="28"/>
          <w:szCs w:val="28"/>
        </w:rPr>
        <w:t>4,758</w:t>
      </w:r>
      <w:r>
        <w:rPr>
          <w:rFonts w:eastAsia="Verdana"/>
          <w:color w:val="000000"/>
          <w:spacing w:val="-17"/>
          <w:sz w:val="28"/>
          <w:szCs w:val="28"/>
        </w:rPr>
        <w:t xml:space="preserve"> depreciated value x 70% assessment ratio = $</w:t>
      </w:r>
      <w:proofErr w:type="gramStart"/>
      <w:r w:rsidR="0021798B">
        <w:rPr>
          <w:rFonts w:eastAsia="Verdana"/>
          <w:color w:val="000000"/>
          <w:spacing w:val="-17"/>
          <w:sz w:val="28"/>
          <w:szCs w:val="28"/>
        </w:rPr>
        <w:t>3,330  x</w:t>
      </w:r>
      <w:proofErr w:type="gramEnd"/>
      <w:r w:rsidR="0021798B">
        <w:rPr>
          <w:rFonts w:eastAsia="Verdana"/>
          <w:color w:val="000000"/>
          <w:spacing w:val="-17"/>
          <w:sz w:val="28"/>
          <w:szCs w:val="28"/>
        </w:rPr>
        <w:t xml:space="preserve"> mill rate 30.65 = $121.55</w:t>
      </w:r>
    </w:p>
    <w:p w14:paraId="6B0A9DCE" w14:textId="277A6B15" w:rsidR="00C51FD3" w:rsidRPr="005A20CE" w:rsidRDefault="005A20CE">
      <w:pPr>
        <w:spacing w:before="15" w:line="374" w:lineRule="exact"/>
        <w:ind w:right="360"/>
        <w:textAlignment w:val="baseline"/>
        <w:rPr>
          <w:rFonts w:eastAsia="Verdana"/>
          <w:color w:val="000000"/>
          <w:spacing w:val="-17"/>
          <w:sz w:val="40"/>
          <w:szCs w:val="40"/>
          <w:u w:val="single"/>
        </w:rPr>
      </w:pPr>
      <w:r>
        <w:rPr>
          <w:rFonts w:eastAsia="Verdana"/>
          <w:color w:val="000000"/>
          <w:spacing w:val="-17"/>
          <w:sz w:val="40"/>
          <w:szCs w:val="40"/>
        </w:rPr>
        <w:tab/>
      </w:r>
    </w:p>
    <w:p w14:paraId="2842F186" w14:textId="77777777" w:rsidR="00C51FD3" w:rsidRDefault="00C51FD3">
      <w:pPr>
        <w:spacing w:before="15" w:line="374" w:lineRule="exact"/>
        <w:ind w:right="360"/>
        <w:textAlignment w:val="baseline"/>
        <w:rPr>
          <w:rFonts w:eastAsia="Verdana"/>
          <w:color w:val="000000"/>
          <w:spacing w:val="-17"/>
          <w:sz w:val="36"/>
          <w:szCs w:val="36"/>
        </w:rPr>
      </w:pPr>
    </w:p>
    <w:p w14:paraId="04419488" w14:textId="6C58DDD4" w:rsidR="00F62F01" w:rsidRPr="00C51FD3" w:rsidRDefault="000062CD">
      <w:pPr>
        <w:spacing w:before="15" w:line="374" w:lineRule="exact"/>
        <w:ind w:right="360"/>
        <w:textAlignment w:val="baseline"/>
        <w:rPr>
          <w:rFonts w:eastAsia="Verdana"/>
          <w:color w:val="000000"/>
          <w:spacing w:val="-17"/>
          <w:sz w:val="36"/>
          <w:szCs w:val="36"/>
        </w:rPr>
      </w:pPr>
      <w:r w:rsidRPr="00C51FD3">
        <w:rPr>
          <w:rFonts w:eastAsia="Verdana"/>
          <w:color w:val="000000"/>
          <w:spacing w:val="-17"/>
          <w:sz w:val="36"/>
          <w:szCs w:val="36"/>
        </w:rPr>
        <w:t>New Personal Use Exemptions pursuant to Section 12-81(82) of the CT General Statutes</w:t>
      </w:r>
    </w:p>
    <w:p w14:paraId="04419489" w14:textId="77777777" w:rsidR="00F62F01" w:rsidRPr="00C51FD3" w:rsidRDefault="000062CD">
      <w:pPr>
        <w:numPr>
          <w:ilvl w:val="0"/>
          <w:numId w:val="1"/>
        </w:numPr>
        <w:tabs>
          <w:tab w:val="clear" w:pos="144"/>
          <w:tab w:val="left" w:pos="216"/>
        </w:tabs>
        <w:spacing w:before="163" w:line="374" w:lineRule="exact"/>
        <w:ind w:left="216" w:right="576" w:hanging="144"/>
        <w:textAlignment w:val="baseline"/>
        <w:rPr>
          <w:rFonts w:eastAsia="Verdana"/>
          <w:color w:val="000000"/>
          <w:spacing w:val="-7"/>
          <w:sz w:val="24"/>
          <w:szCs w:val="24"/>
        </w:rPr>
      </w:pPr>
      <w:r w:rsidRPr="00C51FD3">
        <w:rPr>
          <w:rFonts w:eastAsia="Verdana"/>
          <w:color w:val="000000"/>
          <w:spacing w:val="-7"/>
          <w:sz w:val="24"/>
          <w:szCs w:val="24"/>
        </w:rPr>
        <w:t>Any snowmobile, all-terrain vehicle or residential utility trailer, provided such property is exclusively used for personal use is exempt for assessment years commencing on or after October 1,2024.</w:t>
      </w:r>
    </w:p>
    <w:p w14:paraId="0441948A" w14:textId="77777777" w:rsidR="00F62F01" w:rsidRPr="00C51FD3" w:rsidRDefault="000062CD">
      <w:pPr>
        <w:numPr>
          <w:ilvl w:val="0"/>
          <w:numId w:val="1"/>
        </w:numPr>
        <w:tabs>
          <w:tab w:val="clear" w:pos="144"/>
          <w:tab w:val="left" w:pos="216"/>
        </w:tabs>
        <w:spacing w:before="1" w:line="375" w:lineRule="exact"/>
        <w:ind w:left="216" w:right="216" w:hanging="144"/>
        <w:textAlignment w:val="baseline"/>
        <w:rPr>
          <w:rFonts w:eastAsia="Verdana"/>
          <w:color w:val="000000"/>
          <w:spacing w:val="-7"/>
          <w:sz w:val="24"/>
          <w:szCs w:val="24"/>
        </w:rPr>
      </w:pPr>
      <w:r w:rsidRPr="00C51FD3">
        <w:rPr>
          <w:rFonts w:eastAsia="Verdana"/>
          <w:color w:val="000000"/>
          <w:spacing w:val="-7"/>
          <w:sz w:val="24"/>
          <w:szCs w:val="24"/>
        </w:rPr>
        <w:t>A utility trailer is defined under Section 14-1 as a trailer designed and used to transport personal property, materials or equipment, whether or not permanently affixed to the bed of the trailer.</w:t>
      </w:r>
    </w:p>
    <w:p w14:paraId="0441948B" w14:textId="77777777" w:rsidR="00F62F01" w:rsidRDefault="000062CD">
      <w:pPr>
        <w:numPr>
          <w:ilvl w:val="0"/>
          <w:numId w:val="1"/>
        </w:numPr>
        <w:tabs>
          <w:tab w:val="clear" w:pos="144"/>
          <w:tab w:val="left" w:pos="216"/>
        </w:tabs>
        <w:spacing w:before="5" w:line="375" w:lineRule="exact"/>
        <w:ind w:left="216" w:right="216" w:hanging="144"/>
        <w:textAlignment w:val="baseline"/>
        <w:rPr>
          <w:rFonts w:ascii="Verdana" w:eastAsia="Verdana" w:hAnsi="Verdana"/>
          <w:color w:val="000000"/>
          <w:spacing w:val="-7"/>
          <w:sz w:val="15"/>
        </w:rPr>
      </w:pPr>
      <w:r w:rsidRPr="00C51FD3">
        <w:rPr>
          <w:rFonts w:eastAsia="Verdana"/>
          <w:color w:val="000000"/>
          <w:spacing w:val="-7"/>
          <w:sz w:val="24"/>
          <w:szCs w:val="24"/>
        </w:rPr>
        <w:t>While still required to be registered with the Department of Motor Vehicles, these types of vehicles will be treated as personal possessions and no longer subject to local property taxation</w:t>
      </w:r>
      <w:r>
        <w:rPr>
          <w:rFonts w:ascii="Verdana" w:eastAsia="Verdana" w:hAnsi="Verdana"/>
          <w:color w:val="000000"/>
          <w:spacing w:val="-7"/>
          <w:sz w:val="15"/>
        </w:rPr>
        <w:t>.</w:t>
      </w:r>
    </w:p>
    <w:p w14:paraId="0441948C" w14:textId="77777777" w:rsidR="00F62F01" w:rsidRPr="00C51FD3" w:rsidRDefault="000062CD">
      <w:pPr>
        <w:spacing w:before="382" w:line="374" w:lineRule="exact"/>
        <w:ind w:right="720"/>
        <w:textAlignment w:val="baseline"/>
        <w:rPr>
          <w:rFonts w:eastAsia="Verdana"/>
          <w:color w:val="000000"/>
          <w:spacing w:val="-20"/>
          <w:sz w:val="36"/>
          <w:szCs w:val="36"/>
        </w:rPr>
      </w:pPr>
      <w:r w:rsidRPr="00C51FD3">
        <w:rPr>
          <w:rFonts w:eastAsia="Verdana"/>
          <w:color w:val="000000"/>
          <w:spacing w:val="-20"/>
          <w:sz w:val="36"/>
          <w:szCs w:val="36"/>
        </w:rPr>
        <w:t>Board of Assessment Appeals pursuant to Section 12-117a of the CT General Statutes</w:t>
      </w:r>
    </w:p>
    <w:p w14:paraId="0441948D" w14:textId="77777777" w:rsidR="00F62F01" w:rsidRPr="00C51FD3" w:rsidRDefault="000062CD">
      <w:pPr>
        <w:spacing w:before="158" w:line="375" w:lineRule="exact"/>
        <w:ind w:left="216" w:right="144"/>
        <w:textAlignment w:val="baseline"/>
        <w:rPr>
          <w:rFonts w:eastAsia="Verdana"/>
          <w:color w:val="000000"/>
          <w:sz w:val="24"/>
          <w:szCs w:val="24"/>
        </w:rPr>
      </w:pPr>
      <w:r w:rsidRPr="00C51FD3">
        <w:rPr>
          <w:rFonts w:eastAsia="Verdana"/>
          <w:color w:val="000000"/>
          <w:sz w:val="24"/>
          <w:szCs w:val="24"/>
        </w:rPr>
        <w:t>Motor vehicles are assessed based on MSRP without factors such as high mileage, salvage vehicles, and rebuilt- titles.</w:t>
      </w:r>
    </w:p>
    <w:p w14:paraId="0441948E" w14:textId="77777777" w:rsidR="00F62F01" w:rsidRPr="00C51FD3" w:rsidRDefault="000062CD">
      <w:pPr>
        <w:spacing w:line="374" w:lineRule="exact"/>
        <w:ind w:left="216" w:right="576"/>
        <w:textAlignment w:val="baseline"/>
        <w:rPr>
          <w:rFonts w:eastAsia="Verdana"/>
          <w:color w:val="000000"/>
          <w:sz w:val="24"/>
          <w:szCs w:val="24"/>
        </w:rPr>
      </w:pPr>
      <w:r w:rsidRPr="00C51FD3">
        <w:rPr>
          <w:rFonts w:eastAsia="Verdana"/>
          <w:color w:val="000000"/>
          <w:sz w:val="24"/>
          <w:szCs w:val="24"/>
        </w:rPr>
        <w:t xml:space="preserve">The only grounds for appeal for a taxpayer </w:t>
      </w:r>
      <w:proofErr w:type="gramStart"/>
      <w:r w:rsidRPr="00C51FD3">
        <w:rPr>
          <w:rFonts w:eastAsia="Verdana"/>
          <w:color w:val="000000"/>
          <w:sz w:val="24"/>
          <w:szCs w:val="24"/>
        </w:rPr>
        <w:t>is</w:t>
      </w:r>
      <w:proofErr w:type="gramEnd"/>
      <w:r w:rsidRPr="00C51FD3">
        <w:rPr>
          <w:rFonts w:eastAsia="Verdana"/>
          <w:color w:val="000000"/>
          <w:sz w:val="24"/>
          <w:szCs w:val="24"/>
        </w:rPr>
        <w:t xml:space="preserve"> if the Assessor did not base the assessment from the vehicle's MSRP.</w:t>
      </w:r>
    </w:p>
    <w:p w14:paraId="0441948F" w14:textId="3CD60230" w:rsidR="00F62F01" w:rsidRDefault="000062CD">
      <w:pPr>
        <w:spacing w:before="1" w:line="373" w:lineRule="exact"/>
        <w:ind w:left="216" w:right="216"/>
        <w:textAlignment w:val="baseline"/>
        <w:rPr>
          <w:rFonts w:eastAsia="Verdana"/>
          <w:color w:val="000000"/>
          <w:spacing w:val="-6"/>
          <w:sz w:val="24"/>
          <w:szCs w:val="24"/>
        </w:rPr>
      </w:pPr>
      <w:r w:rsidRPr="00C51FD3">
        <w:rPr>
          <w:rFonts w:eastAsia="Verdana"/>
          <w:color w:val="000000"/>
          <w:spacing w:val="-6"/>
          <w:sz w:val="24"/>
          <w:szCs w:val="24"/>
        </w:rPr>
        <w:t>Vehicle owners may appeal the MSRP determination to the Board of Assessment Appeals at their next successive meeting.</w:t>
      </w:r>
      <w:bookmarkStart w:id="0" w:name="_GoBack"/>
      <w:bookmarkEnd w:id="0"/>
    </w:p>
    <w:p w14:paraId="04419490" w14:textId="5BD57A57" w:rsidR="00F62F01" w:rsidRPr="00C51FD3" w:rsidRDefault="000062CD">
      <w:pPr>
        <w:spacing w:before="370" w:after="257" w:line="374" w:lineRule="exact"/>
        <w:ind w:right="360"/>
        <w:textAlignment w:val="baseline"/>
        <w:rPr>
          <w:rFonts w:eastAsia="Verdana"/>
          <w:color w:val="000000"/>
          <w:spacing w:val="-14"/>
          <w:sz w:val="32"/>
          <w:szCs w:val="32"/>
        </w:rPr>
      </w:pPr>
      <w:r w:rsidRPr="00C51FD3">
        <w:rPr>
          <w:rFonts w:eastAsia="Verdana"/>
          <w:color w:val="000000"/>
          <w:spacing w:val="-14"/>
          <w:sz w:val="32"/>
          <w:szCs w:val="32"/>
        </w:rPr>
        <w:t>Depreciation Schedule pursuant to Public Act 2025-2 of the CT General Statutes</w:t>
      </w:r>
    </w:p>
    <w:p w14:paraId="04419491" w14:textId="150171AC" w:rsidR="00F62F01" w:rsidRDefault="0021798B" w:rsidP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line="188" w:lineRule="exact"/>
        <w:ind w:left="216" w:right="391"/>
        <w:textAlignment w:val="baseline"/>
        <w:rPr>
          <w:rFonts w:ascii="Verdana" w:eastAsia="Verdana" w:hAnsi="Verdana"/>
          <w:color w:val="000000"/>
          <w:sz w:val="15"/>
        </w:rPr>
      </w:pPr>
      <w:r>
        <w:rPr>
          <w:b/>
          <w:bCs/>
        </w:rPr>
        <w:pict w14:anchorId="0441949C">
          <v:line id="_x0000_s1030" style="position:absolute;left:0;text-align:left;z-index:251655680;mso-position-horizontal-relative:page;mso-position-vertical-relative:page" from="240.5pt,490.3pt" to="240.5pt,751pt" strokeweight=".7pt">
            <w10:wrap anchorx="page" anchory="page"/>
          </v:line>
        </w:pict>
      </w:r>
      <w:r w:rsidR="000062CD" w:rsidRPr="000062CD">
        <w:rPr>
          <w:rFonts w:ascii="Verdana" w:eastAsia="Verdana" w:hAnsi="Verdana"/>
          <w:b/>
          <w:bCs/>
          <w:color w:val="000000"/>
          <w:sz w:val="15"/>
        </w:rPr>
        <w:t>Age of Vehicle</w:t>
      </w:r>
      <w:r w:rsidR="000062CD">
        <w:rPr>
          <w:rFonts w:ascii="Verdana" w:eastAsia="Verdana" w:hAnsi="Verdana"/>
          <w:color w:val="000000"/>
          <w:sz w:val="15"/>
        </w:rPr>
        <w:tab/>
      </w:r>
      <w:r w:rsidR="000062CD" w:rsidRPr="000062CD">
        <w:rPr>
          <w:rFonts w:ascii="Verdana" w:eastAsia="Verdana" w:hAnsi="Verdana"/>
          <w:b/>
          <w:bCs/>
          <w:color w:val="000000"/>
          <w:sz w:val="15"/>
        </w:rPr>
        <w:t>Percentage of MSRP</w:t>
      </w:r>
    </w:p>
    <w:p w14:paraId="04419492" w14:textId="77777777" w:rsidR="00F62F01" w:rsidRDefault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before="398" w:line="185" w:lineRule="exact"/>
        <w:ind w:left="216" w:right="391"/>
        <w:textAlignment w:val="baseline"/>
        <w:rPr>
          <w:rFonts w:ascii="Verdana" w:eastAsia="Verdana" w:hAnsi="Verdana"/>
          <w:color w:val="000000"/>
          <w:spacing w:val="-2"/>
          <w:sz w:val="15"/>
        </w:rPr>
      </w:pPr>
      <w:r>
        <w:rPr>
          <w:rFonts w:ascii="Verdana" w:eastAsia="Verdana" w:hAnsi="Verdana"/>
          <w:color w:val="000000"/>
          <w:spacing w:val="-2"/>
          <w:sz w:val="15"/>
        </w:rPr>
        <w:t>Up to year one</w:t>
      </w:r>
      <w:r>
        <w:rPr>
          <w:rFonts w:ascii="Verdana" w:eastAsia="Verdana" w:hAnsi="Verdana"/>
          <w:color w:val="000000"/>
          <w:spacing w:val="-2"/>
          <w:sz w:val="15"/>
        </w:rPr>
        <w:tab/>
        <w:t>Ninety percent</w:t>
      </w:r>
    </w:p>
    <w:p w14:paraId="04419493" w14:textId="77777777" w:rsidR="00F62F01" w:rsidRDefault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before="385" w:line="184" w:lineRule="exact"/>
        <w:ind w:left="216" w:right="391"/>
        <w:textAlignment w:val="baseline"/>
        <w:rPr>
          <w:rFonts w:ascii="Verdana" w:eastAsia="Verdana" w:hAnsi="Verdana"/>
          <w:color w:val="000000"/>
          <w:spacing w:val="-2"/>
          <w:sz w:val="15"/>
        </w:rPr>
      </w:pPr>
      <w:r>
        <w:rPr>
          <w:rFonts w:ascii="Verdana" w:eastAsia="Verdana" w:hAnsi="Verdana"/>
          <w:color w:val="000000"/>
          <w:spacing w:val="-2"/>
          <w:sz w:val="15"/>
        </w:rPr>
        <w:t>Year two</w:t>
      </w:r>
      <w:r>
        <w:rPr>
          <w:rFonts w:ascii="Verdana" w:eastAsia="Verdana" w:hAnsi="Verdana"/>
          <w:color w:val="000000"/>
          <w:spacing w:val="-2"/>
          <w:sz w:val="15"/>
        </w:rPr>
        <w:tab/>
        <w:t>Eighty-five percent</w:t>
      </w:r>
    </w:p>
    <w:p w14:paraId="04419494" w14:textId="77777777" w:rsidR="00F62F01" w:rsidRDefault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before="397" w:line="186" w:lineRule="exact"/>
        <w:ind w:left="216" w:right="391"/>
        <w:textAlignment w:val="baseline"/>
        <w:rPr>
          <w:rFonts w:ascii="Verdana" w:eastAsia="Verdana" w:hAnsi="Verdana"/>
          <w:color w:val="000000"/>
          <w:spacing w:val="-2"/>
          <w:sz w:val="15"/>
        </w:rPr>
      </w:pPr>
      <w:r>
        <w:rPr>
          <w:rFonts w:ascii="Verdana" w:eastAsia="Verdana" w:hAnsi="Verdana"/>
          <w:color w:val="000000"/>
          <w:spacing w:val="-2"/>
          <w:sz w:val="15"/>
        </w:rPr>
        <w:t>Year three</w:t>
      </w:r>
      <w:r>
        <w:rPr>
          <w:rFonts w:ascii="Verdana" w:eastAsia="Verdana" w:hAnsi="Verdana"/>
          <w:color w:val="000000"/>
          <w:spacing w:val="-2"/>
          <w:sz w:val="15"/>
        </w:rPr>
        <w:tab/>
        <w:t>Eighty percent</w:t>
      </w:r>
    </w:p>
    <w:p w14:paraId="04419495" w14:textId="77777777" w:rsidR="00F62F01" w:rsidRDefault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before="389" w:line="180" w:lineRule="exact"/>
        <w:ind w:left="216" w:right="391"/>
        <w:textAlignment w:val="baseline"/>
        <w:rPr>
          <w:rFonts w:ascii="Verdana" w:eastAsia="Verdana" w:hAnsi="Verdana"/>
          <w:color w:val="000000"/>
          <w:spacing w:val="-2"/>
          <w:sz w:val="15"/>
        </w:rPr>
      </w:pPr>
      <w:r>
        <w:rPr>
          <w:rFonts w:ascii="Verdana" w:eastAsia="Verdana" w:hAnsi="Verdana"/>
          <w:color w:val="000000"/>
          <w:spacing w:val="-2"/>
          <w:sz w:val="15"/>
        </w:rPr>
        <w:lastRenderedPageBreak/>
        <w:t>Year four</w:t>
      </w:r>
      <w:r>
        <w:rPr>
          <w:rFonts w:ascii="Verdana" w:eastAsia="Verdana" w:hAnsi="Verdana"/>
          <w:color w:val="000000"/>
          <w:spacing w:val="-2"/>
          <w:sz w:val="15"/>
        </w:rPr>
        <w:tab/>
        <w:t>Seventy-five percent</w:t>
      </w:r>
    </w:p>
    <w:p w14:paraId="04419496" w14:textId="77777777" w:rsidR="00F62F01" w:rsidRDefault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before="402" w:line="181" w:lineRule="exact"/>
        <w:ind w:left="216" w:right="391"/>
        <w:textAlignment w:val="baseline"/>
        <w:rPr>
          <w:rFonts w:ascii="Verdana" w:eastAsia="Verdana" w:hAnsi="Verdana"/>
          <w:color w:val="000000"/>
          <w:spacing w:val="-2"/>
          <w:sz w:val="15"/>
        </w:rPr>
      </w:pPr>
      <w:r>
        <w:rPr>
          <w:rFonts w:ascii="Verdana" w:eastAsia="Verdana" w:hAnsi="Verdana"/>
          <w:color w:val="000000"/>
          <w:spacing w:val="-2"/>
          <w:sz w:val="15"/>
        </w:rPr>
        <w:t>Year five</w:t>
      </w:r>
      <w:r>
        <w:rPr>
          <w:rFonts w:ascii="Verdana" w:eastAsia="Verdana" w:hAnsi="Verdana"/>
          <w:color w:val="000000"/>
          <w:spacing w:val="-2"/>
          <w:sz w:val="15"/>
        </w:rPr>
        <w:tab/>
        <w:t>Seventy percent</w:t>
      </w:r>
    </w:p>
    <w:p w14:paraId="04419497" w14:textId="77777777" w:rsidR="00F62F01" w:rsidRDefault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before="388" w:line="181" w:lineRule="exact"/>
        <w:ind w:left="216" w:right="391"/>
        <w:textAlignment w:val="baseline"/>
        <w:rPr>
          <w:rFonts w:ascii="Verdana" w:eastAsia="Verdana" w:hAnsi="Verdana"/>
          <w:color w:val="000000"/>
          <w:spacing w:val="-3"/>
          <w:sz w:val="15"/>
        </w:rPr>
      </w:pPr>
      <w:r>
        <w:rPr>
          <w:rFonts w:ascii="Verdana" w:eastAsia="Verdana" w:hAnsi="Verdana"/>
          <w:color w:val="000000"/>
          <w:spacing w:val="-3"/>
          <w:sz w:val="15"/>
        </w:rPr>
        <w:t>Year six</w:t>
      </w:r>
      <w:r>
        <w:rPr>
          <w:rFonts w:ascii="Verdana" w:eastAsia="Verdana" w:hAnsi="Verdana"/>
          <w:color w:val="000000"/>
          <w:spacing w:val="-3"/>
          <w:sz w:val="15"/>
        </w:rPr>
        <w:tab/>
        <w:t>Sixty-five percent</w:t>
      </w:r>
    </w:p>
    <w:p w14:paraId="04419498" w14:textId="77777777" w:rsidR="00F62F01" w:rsidRDefault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before="423" w:line="168" w:lineRule="exact"/>
        <w:ind w:left="216" w:right="391"/>
        <w:textAlignment w:val="baseline"/>
        <w:rPr>
          <w:rFonts w:ascii="Verdana" w:eastAsia="Verdana" w:hAnsi="Verdana"/>
          <w:color w:val="000000"/>
          <w:spacing w:val="-2"/>
          <w:sz w:val="15"/>
        </w:rPr>
      </w:pPr>
      <w:r>
        <w:rPr>
          <w:rFonts w:ascii="Verdana" w:eastAsia="Verdana" w:hAnsi="Verdana"/>
          <w:color w:val="000000"/>
          <w:spacing w:val="-2"/>
          <w:sz w:val="15"/>
        </w:rPr>
        <w:t xml:space="preserve">Year seven </w:t>
      </w:r>
      <w:r>
        <w:rPr>
          <w:rFonts w:ascii="Lucida Console" w:eastAsia="Lucida Console" w:hAnsi="Lucida Console"/>
          <w:color w:val="000000"/>
          <w:spacing w:val="-2"/>
          <w:sz w:val="17"/>
        </w:rPr>
        <w:t>-</w:t>
      </w:r>
      <w:r>
        <w:rPr>
          <w:rFonts w:ascii="Lucida Console" w:eastAsia="Lucida Console" w:hAnsi="Lucida Console"/>
          <w:color w:val="000000"/>
          <w:spacing w:val="-2"/>
          <w:sz w:val="17"/>
        </w:rPr>
        <w:tab/>
      </w:r>
      <w:r>
        <w:rPr>
          <w:rFonts w:ascii="Verdana" w:eastAsia="Verdana" w:hAnsi="Verdana"/>
          <w:color w:val="000000"/>
          <w:spacing w:val="-2"/>
          <w:sz w:val="15"/>
        </w:rPr>
        <w:t>Sixty percent</w:t>
      </w:r>
    </w:p>
    <w:p w14:paraId="04419499" w14:textId="77777777" w:rsidR="00F62F01" w:rsidRDefault="000062CD">
      <w:pPr>
        <w:pBdr>
          <w:top w:val="single" w:sz="8" w:space="9" w:color="000000"/>
          <w:left w:val="single" w:sz="8" w:space="10" w:color="000000"/>
        </w:pBdr>
        <w:tabs>
          <w:tab w:val="left" w:pos="4248"/>
        </w:tabs>
        <w:spacing w:before="388" w:line="187" w:lineRule="exact"/>
        <w:ind w:left="216" w:right="391"/>
        <w:textAlignment w:val="baseline"/>
        <w:rPr>
          <w:rFonts w:ascii="Verdana" w:eastAsia="Verdana" w:hAnsi="Verdana"/>
          <w:color w:val="000000"/>
          <w:spacing w:val="-2"/>
          <w:sz w:val="15"/>
        </w:rPr>
      </w:pPr>
      <w:r>
        <w:rPr>
          <w:rFonts w:ascii="Verdana" w:eastAsia="Verdana" w:hAnsi="Verdana"/>
          <w:color w:val="000000"/>
          <w:spacing w:val="-2"/>
          <w:sz w:val="15"/>
        </w:rPr>
        <w:t>Year eight</w:t>
      </w:r>
      <w:r>
        <w:rPr>
          <w:rFonts w:ascii="Verdana" w:eastAsia="Verdana" w:hAnsi="Verdana"/>
          <w:color w:val="000000"/>
          <w:spacing w:val="-2"/>
          <w:sz w:val="15"/>
        </w:rPr>
        <w:tab/>
        <w:t>Fifty-five percent</w:t>
      </w:r>
    </w:p>
    <w:p w14:paraId="0441949B" w14:textId="77777777" w:rsidR="00F62F01" w:rsidRDefault="0021798B">
      <w:pPr>
        <w:textAlignment w:val="baseline"/>
        <w:rPr>
          <w:rFonts w:eastAsia="Times New Roman"/>
          <w:color w:val="000000"/>
          <w:sz w:val="24"/>
        </w:rPr>
      </w:pPr>
      <w:r>
        <w:pict w14:anchorId="0441949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39pt;margin-top:22.15pt;width:300.1pt;height:271.6pt;z-index:-251659776;mso-wrap-distance-left:0;mso-wrap-distance-right:0;mso-position-horizontal-relative:page;mso-position-vertical-relative:page" filled="f" stroked="f">
            <v:textbox inset="0,0,0,0">
              <w:txbxContent>
                <w:p w14:paraId="044194A4" w14:textId="77777777" w:rsidR="00F62F01" w:rsidRPr="000062CD" w:rsidRDefault="000062CD">
                  <w:pPr>
                    <w:tabs>
                      <w:tab w:val="left" w:pos="4248"/>
                    </w:tabs>
                    <w:spacing w:before="393" w:line="186" w:lineRule="exact"/>
                    <w:ind w:left="144"/>
                    <w:textAlignment w:val="baseline"/>
                    <w:rPr>
                      <w:rFonts w:ascii="Verdana" w:eastAsia="Verdana" w:hAnsi="Verdana"/>
                      <w:b/>
                      <w:bCs/>
                      <w:color w:val="000000"/>
                      <w:spacing w:val="-3"/>
                      <w:sz w:val="15"/>
                    </w:rPr>
                  </w:pPr>
                  <w:r w:rsidRPr="000062CD">
                    <w:rPr>
                      <w:rFonts w:ascii="Verdana" w:eastAsia="Verdana" w:hAnsi="Verdana"/>
                      <w:b/>
                      <w:bCs/>
                      <w:color w:val="000000"/>
                      <w:spacing w:val="-3"/>
                      <w:sz w:val="15"/>
                    </w:rPr>
                    <w:t>Age of Vehicle</w:t>
                  </w:r>
                  <w:r>
                    <w:rPr>
                      <w:rFonts w:ascii="Verdana" w:eastAsia="Verdana" w:hAnsi="Verdana"/>
                      <w:color w:val="000000"/>
                      <w:spacing w:val="-3"/>
                      <w:sz w:val="15"/>
                    </w:rPr>
                    <w:tab/>
                  </w:r>
                  <w:r w:rsidRPr="000062CD">
                    <w:rPr>
                      <w:rFonts w:ascii="Verdana" w:eastAsia="Verdana" w:hAnsi="Verdana"/>
                      <w:b/>
                      <w:bCs/>
                      <w:color w:val="000000"/>
                      <w:spacing w:val="-3"/>
                      <w:sz w:val="15"/>
                    </w:rPr>
                    <w:t>Percentage of MSRP</w:t>
                  </w:r>
                </w:p>
                <w:p w14:paraId="044194A5" w14:textId="77777777" w:rsidR="00F62F01" w:rsidRDefault="000062CD">
                  <w:pPr>
                    <w:tabs>
                      <w:tab w:val="left" w:pos="4248"/>
                    </w:tabs>
                    <w:spacing w:before="398" w:line="186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>Year nine</w:t>
                  </w: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ab/>
                    <w:t>Fifty percent</w:t>
                  </w:r>
                </w:p>
                <w:p w14:paraId="044194A6" w14:textId="77777777" w:rsidR="00F62F01" w:rsidRDefault="000062CD">
                  <w:pPr>
                    <w:tabs>
                      <w:tab w:val="left" w:pos="4248"/>
                    </w:tabs>
                    <w:spacing w:before="385" w:line="177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5"/>
                    </w:rPr>
                    <w:t>Year ten</w:t>
                  </w:r>
                  <w:r>
                    <w:rPr>
                      <w:rFonts w:ascii="Verdana" w:eastAsia="Verdana" w:hAnsi="Verdana"/>
                      <w:color w:val="000000"/>
                      <w:spacing w:val="-5"/>
                      <w:sz w:val="15"/>
                    </w:rPr>
                    <w:tab/>
                    <w:t>Forty-five percent</w:t>
                  </w:r>
                </w:p>
                <w:p w14:paraId="044194A7" w14:textId="77777777" w:rsidR="00F62F01" w:rsidRDefault="000062CD">
                  <w:pPr>
                    <w:tabs>
                      <w:tab w:val="left" w:pos="4248"/>
                    </w:tabs>
                    <w:spacing w:before="411" w:line="186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>Year eleven</w:t>
                  </w: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ab/>
                    <w:t>Forty percent</w:t>
                  </w:r>
                </w:p>
                <w:p w14:paraId="044194A8" w14:textId="77777777" w:rsidR="00F62F01" w:rsidRDefault="000062CD">
                  <w:pPr>
                    <w:tabs>
                      <w:tab w:val="left" w:pos="4248"/>
                    </w:tabs>
                    <w:spacing w:before="389" w:line="180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>Year twelve</w:t>
                  </w: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ab/>
                    <w:t>Thirty-five percent</w:t>
                  </w:r>
                </w:p>
                <w:p w14:paraId="044194A9" w14:textId="77777777" w:rsidR="00F62F01" w:rsidRDefault="000062CD">
                  <w:pPr>
                    <w:tabs>
                      <w:tab w:val="left" w:pos="4248"/>
                    </w:tabs>
                    <w:spacing w:before="405" w:line="178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>Year thirteen</w:t>
                  </w: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ab/>
                    <w:t>Thirty percent</w:t>
                  </w:r>
                </w:p>
                <w:p w14:paraId="044194AA" w14:textId="77777777" w:rsidR="00F62F01" w:rsidRDefault="000062CD">
                  <w:pPr>
                    <w:tabs>
                      <w:tab w:val="left" w:pos="4248"/>
                    </w:tabs>
                    <w:spacing w:before="398" w:line="178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>Year fourteen</w:t>
                  </w:r>
                  <w:r>
                    <w:rPr>
                      <w:rFonts w:ascii="Verdana" w:eastAsia="Verdana" w:hAnsi="Verdana"/>
                      <w:color w:val="000000"/>
                      <w:spacing w:val="-4"/>
                      <w:sz w:val="15"/>
                    </w:rPr>
                    <w:tab/>
                    <w:t>Twenty-five percent</w:t>
                  </w:r>
                </w:p>
                <w:p w14:paraId="044194AB" w14:textId="77777777" w:rsidR="00F62F01" w:rsidRDefault="000062CD">
                  <w:pPr>
                    <w:tabs>
                      <w:tab w:val="left" w:pos="4248"/>
                    </w:tabs>
                    <w:spacing w:before="406" w:line="184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5"/>
                    </w:rPr>
                    <w:t>Years fifteen to nineteen</w:t>
                  </w:r>
                  <w:r>
                    <w:rPr>
                      <w:rFonts w:ascii="Verdana" w:eastAsia="Verdana" w:hAnsi="Verdana"/>
                      <w:color w:val="000000"/>
                      <w:spacing w:val="-3"/>
                      <w:sz w:val="15"/>
                    </w:rPr>
                    <w:tab/>
                    <w:t>Twenty percent</w:t>
                  </w:r>
                </w:p>
                <w:p w14:paraId="044194AC" w14:textId="77777777" w:rsidR="00F62F01" w:rsidRDefault="000062CD">
                  <w:pPr>
                    <w:tabs>
                      <w:tab w:val="left" w:pos="4248"/>
                    </w:tabs>
                    <w:spacing w:before="391" w:after="208" w:line="178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5"/>
                    </w:rPr>
                    <w:t>Years twenty and beyond</w:t>
                  </w:r>
                  <w:r>
                    <w:rPr>
                      <w:rFonts w:ascii="Verdana" w:eastAsia="Verdana" w:hAnsi="Verdana"/>
                      <w:color w:val="000000"/>
                      <w:spacing w:val="-3"/>
                      <w:sz w:val="15"/>
                    </w:rPr>
                    <w:tab/>
                    <w:t>Not less than $500</w:t>
                  </w:r>
                </w:p>
              </w:txbxContent>
            </v:textbox>
            <w10:wrap type="square" anchorx="page" anchory="page"/>
          </v:shape>
        </w:pict>
      </w:r>
      <w:r>
        <w:pict w14:anchorId="0441949F">
          <v:line id="_x0000_s1028" style="position:absolute;z-index:251657728;mso-position-horizontal-relative:page;mso-position-vertical-relative:page" from="39.25pt,32.05pt" to="339.15pt,32.05pt" strokeweight=".7pt">
            <w10:wrap anchorx="page" anchory="page"/>
          </v:line>
        </w:pict>
      </w:r>
      <w:r>
        <w:pict w14:anchorId="044194A0">
          <v:line id="_x0000_s1027" style="position:absolute;z-index:251658752;mso-position-horizontal-relative:page;mso-position-vertical-relative:page" from="241.55pt,31.7pt" to="241.55pt,293.45pt" strokeweight=".7pt">
            <w10:wrap anchorx="page" anchory="page"/>
          </v:line>
        </w:pict>
      </w:r>
      <w:r>
        <w:pict w14:anchorId="044194A1">
          <v:line id="_x0000_s1026" style="position:absolute;z-index:251659776;mso-position-horizontal-relative:page;mso-position-vertical-relative:page" from="39.6pt,31.7pt" to="39.6pt,293.8pt" strokeweight="1.1pt">
            <w10:wrap anchorx="page" anchory="page"/>
          </v:line>
        </w:pict>
      </w:r>
    </w:p>
    <w:sectPr w:rsidR="00F62F01">
      <w:pgSz w:w="12240" w:h="15840"/>
      <w:pgMar w:top="871" w:right="5731" w:bottom="324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194A6" w14:textId="77777777" w:rsidR="000062CD" w:rsidRDefault="000062CD">
      <w:r>
        <w:separator/>
      </w:r>
    </w:p>
  </w:endnote>
  <w:endnote w:type="continuationSeparator" w:id="0">
    <w:p w14:paraId="044194A8" w14:textId="77777777" w:rsidR="000062CD" w:rsidRDefault="0000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94A2" w14:textId="77777777" w:rsidR="00F62F01" w:rsidRDefault="00F62F01"/>
  </w:footnote>
  <w:footnote w:type="continuationSeparator" w:id="0">
    <w:p w14:paraId="044194A3" w14:textId="77777777" w:rsidR="00F62F01" w:rsidRDefault="0000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A27"/>
    <w:multiLevelType w:val="multilevel"/>
    <w:tmpl w:val="C2724394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-7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01"/>
    <w:rsid w:val="000062CD"/>
    <w:rsid w:val="0021798B"/>
    <w:rsid w:val="00570E19"/>
    <w:rsid w:val="005A20CE"/>
    <w:rsid w:val="005B7933"/>
    <w:rsid w:val="009453D7"/>
    <w:rsid w:val="00C51FD3"/>
    <w:rsid w:val="00D1706C"/>
    <w:rsid w:val="00F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441947F"/>
  <w15:docId w15:val="{EAC0FFC6-9B6C-4496-8861-32644ACE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477823DD58408D19117B5F24BF38" ma:contentTypeVersion="12" ma:contentTypeDescription="Create a new document." ma:contentTypeScope="" ma:versionID="3cf2fa31daa35ab00a3678a73f4d52ca">
  <xsd:schema xmlns:xsd="http://www.w3.org/2001/XMLSchema" xmlns:xs="http://www.w3.org/2001/XMLSchema" xmlns:p="http://schemas.microsoft.com/office/2006/metadata/properties" xmlns:ns3="a1478197-81eb-4db2-9290-231d6c6bf925" targetNamespace="http://schemas.microsoft.com/office/2006/metadata/properties" ma:root="true" ma:fieldsID="2fe260c6d1722a2b875855d961998339" ns3:_="">
    <xsd:import namespace="a1478197-81eb-4db2-9290-231d6c6bf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78197-81eb-4db2-9290-231d6c6bf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B563-52E9-46F9-92A5-AA007D890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78197-81eb-4db2-9290-231d6c6bf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D6D8-3B27-4219-9797-10872773D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2B9A1-085E-40E9-85C4-99EE4200FA01}">
  <ds:schemaRefs>
    <ds:schemaRef ds:uri="http://schemas.microsoft.com/office/2006/metadata/properties"/>
    <ds:schemaRef ds:uri="http://schemas.openxmlformats.org/package/2006/metadata/core-properties"/>
    <ds:schemaRef ds:uri="a1478197-81eb-4db2-9290-231d6c6bf925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742924-A9D9-440E-99CD-230FE3B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509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Milardo</dc:creator>
  <cp:lastModifiedBy>Teresa Milardo</cp:lastModifiedBy>
  <cp:revision>2</cp:revision>
  <cp:lastPrinted>2025-07-03T15:59:00Z</cp:lastPrinted>
  <dcterms:created xsi:type="dcterms:W3CDTF">2025-07-03T17:36:00Z</dcterms:created>
  <dcterms:modified xsi:type="dcterms:W3CDTF">2025-07-03T17:36:00Z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0x010100407F477823DD58408D19117B5F24BF38</vt:lpwstr>
  </property>
</Properties>
</file>